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-24764</wp:posOffset>
                </wp:positionH>
                <wp:positionV relativeFrom="paragraph">
                  <wp:posOffset>-3809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1.95pt;mso-position-horizontal:absolute;mso-position-vertical-relative:text;margin-top:-0.3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rFonts w:ascii="Times New Roman" w:hAnsi="Times New Roman" w:cs="Times New Roman"/>
          <w:bCs/>
          <w:sz w:val="28"/>
          <w:szCs w:val="28"/>
        </w:rPr>
      </w:pPr>
      <w:r>
        <w:rPr>
          <w:rStyle w:val="UserStyle_60"/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Style w:val="UserStyle_60"/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Style w:val="UserStyle_60"/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Style w:val="UserStyle_60"/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Style w:val="UserStyle_60"/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Style w:val="UserStyle_60"/>
          <w:rFonts w:ascii="Times New Roman" w:hAnsi="Times New Roman" w:cs="Times New Roman"/>
          <w:b/>
          <w:bCs/>
          <w:sz w:val="28"/>
          <w:szCs w:val="28"/>
        </w:rPr>
        <w:t xml:space="preserve">.2</w:t>
      </w:r>
      <w:r>
        <w:rPr>
          <w:rStyle w:val="UserStyle_60"/>
          <w:rFonts w:ascii="Times New Roman" w:hAnsi="Times New Roman" w:cs="Times New Roman"/>
          <w:b/>
          <w:bCs/>
          <w:sz w:val="28"/>
          <w:szCs w:val="28"/>
        </w:rPr>
        <w:t xml:space="preserve">024</w:t>
      </w:r>
      <w:r>
        <w:rPr>
          <w:rStyle w:val="UserStyle_60"/>
          <w:rFonts w:ascii="Times New Roman" w:hAnsi="Times New Roman" w:cs="Times New Roman"/>
          <w:bCs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Оформить в собственность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хозяйственные постройки стало проще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рубрики «Изменения законодательства»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информирует о законодательных инициативах, принятии важных проектов в сфере земли и недвижимости, вступлении в силу законов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Сегодня более подробно расскажем о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ом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370-ФЗ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», который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расшир</w:t>
      </w:r>
      <w:r>
        <w:rPr>
          <w:rFonts w:ascii="Times New Roman" w:hAnsi="Times New Roman" w:cs="Times New Roman"/>
          <w:b/>
          <w:sz w:val="28"/>
          <w:szCs w:val="28"/>
        </w:rPr>
        <w:t xml:space="preserve">яет возможности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«дачной амнистии».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октября 2024 года Президентом РФ Владимиром Путиным п</w:t>
      </w:r>
      <w:r>
        <w:rPr>
          <w:rFonts w:ascii="Times New Roman" w:hAnsi="Times New Roman" w:cs="Times New Roman"/>
          <w:sz w:val="28"/>
          <w:szCs w:val="28"/>
        </w:rPr>
        <w:t xml:space="preserve">одписан разработанный при участии Росреестра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r>
        <w:rPr>
          <w:rFonts w:ascii="Times New Roman" w:hAnsi="Times New Roman" w:cs="Times New Roman"/>
          <w:sz w:val="28"/>
          <w:szCs w:val="28"/>
        </w:rPr>
        <w:t xml:space="preserve">вводится упрощённая процедура государственной регистрации права собственности на ряд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Ранее</w:t>
      </w:r>
      <w:r>
        <w:rPr>
          <w:rFonts w:ascii="Times New Roman" w:hAnsi="Times New Roman" w:cs="Times New Roman"/>
          <w:sz w:val="28"/>
          <w:szCs w:val="28"/>
        </w:rPr>
        <w:t xml:space="preserve"> для регистрации хозяйственных построек требовалось выполнение кадастровых работ, подготовка декларации об объекте и технического плана. </w:t>
      </w:r>
      <w:r>
        <w:rPr>
          <w:rFonts w:ascii="Times New Roman" w:hAnsi="Times New Roman" w:cs="Times New Roman"/>
          <w:sz w:val="28"/>
          <w:szCs w:val="28"/>
        </w:rPr>
        <w:t xml:space="preserve">Теперь</w:t>
      </w:r>
      <w:r>
        <w:rPr>
          <w:rFonts w:ascii="Times New Roman" w:hAnsi="Times New Roman" w:cs="Times New Roman"/>
          <w:sz w:val="28"/>
          <w:szCs w:val="28"/>
        </w:rPr>
        <w:t xml:space="preserve"> внести в ЕГРН сведения о хозяйственных постройках ста</w:t>
      </w:r>
      <w:r>
        <w:rPr>
          <w:rFonts w:ascii="Times New Roman" w:hAnsi="Times New Roman" w:cs="Times New Roman"/>
          <w:sz w:val="28"/>
          <w:szCs w:val="28"/>
        </w:rPr>
        <w:t xml:space="preserve">ло</w:t>
      </w:r>
      <w:r>
        <w:rPr>
          <w:rFonts w:ascii="Times New Roman" w:hAnsi="Times New Roman" w:cs="Times New Roman"/>
          <w:sz w:val="28"/>
          <w:szCs w:val="28"/>
        </w:rPr>
        <w:t xml:space="preserve"> проще</w:t>
      </w:r>
      <w:r>
        <w:rPr>
          <w:rFonts w:ascii="Times New Roman" w:hAnsi="Times New Roman" w:cs="Times New Roman"/>
          <w:sz w:val="28"/>
          <w:szCs w:val="28"/>
        </w:rPr>
        <w:t xml:space="preserve">. Зарегистрировать права на </w:t>
      </w:r>
      <w:r>
        <w:rPr>
          <w:rFonts w:ascii="Times New Roman" w:hAnsi="Times New Roman" w:cs="Times New Roman"/>
          <w:sz w:val="28"/>
          <w:szCs w:val="28"/>
        </w:rPr>
        <w:t xml:space="preserve">таки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можно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</w:t>
      </w:r>
      <w:r>
        <w:rPr>
          <w:rFonts w:ascii="Times New Roman" w:hAnsi="Times New Roman" w:cs="Times New Roman"/>
          <w:sz w:val="28"/>
          <w:szCs w:val="28"/>
        </w:rPr>
        <w:t xml:space="preserve"> ранее учтённы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техпаспортов, оценочной или другой учетно-технической документации.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Речь идет о вспомогательных объектах</w:t>
      </w:r>
      <w:r>
        <w:t xml:space="preserve"></w:t>
      </w:r>
      <w:r>
        <w:rPr>
          <w:rFonts w:ascii="Times New Roman" w:hAnsi="Times New Roman" w:cs="Times New Roman"/>
          <w:sz w:val="28"/>
          <w:szCs w:val="28"/>
        </w:rPr>
        <w:t xml:space="preserve">на фундаменте</w:t>
      </w:r>
      <w:r>
        <w:rPr>
          <w:rFonts w:ascii="Times New Roman" w:hAnsi="Times New Roman" w:cs="Times New Roman"/>
          <w:sz w:val="28"/>
          <w:szCs w:val="28"/>
        </w:rPr>
        <w:t xml:space="preserve">, созданных до 1 января 2013 года. Это сараи, бани, погреба, летние кухни, колодцы, навесы и другие хозяйственные постройки, расположен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на земельных участках, предназначенных для индивидуального жилищного строительства, ведения личного подсобного хозяйства и садоводства.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ступившие в силу с 9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нововведения позволя</w:t>
      </w:r>
      <w:r>
        <w:rPr>
          <w:rFonts w:ascii="Times New Roman" w:hAnsi="Times New Roman" w:cs="Times New Roman"/>
          <w:sz w:val="28"/>
          <w:szCs w:val="28"/>
        </w:rPr>
        <w:t xml:space="preserve">т гражданам легализовать объекты вспомогательного использования в упрощённом порядке, </w:t>
      </w:r>
      <w:r>
        <w:rPr>
          <w:rFonts w:ascii="Times New Roman" w:hAnsi="Times New Roman" w:cs="Times New Roman"/>
          <w:sz w:val="28"/>
          <w:szCs w:val="28"/>
        </w:rPr>
        <w:t xml:space="preserve">сократив при этом</w:t>
      </w:r>
      <w:r>
        <w:rPr>
          <w:rFonts w:ascii="Times New Roman" w:hAnsi="Times New Roman" w:cs="Times New Roman"/>
          <w:sz w:val="28"/>
          <w:szCs w:val="28"/>
        </w:rPr>
        <w:t xml:space="preserve"> финансовые затраты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исключаются траты на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технического плана </w:t>
      </w:r>
      <w:r>
        <w:rPr>
          <w:rFonts w:ascii="Times New Roman" w:hAnsi="Times New Roman" w:cs="Times New Roman"/>
          <w:sz w:val="28"/>
          <w:szCs w:val="28"/>
        </w:rPr>
        <w:t xml:space="preserve">объекта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рамках закона упрощенный механизм оформления прав распространяется и на дома блокированной застройки, построенные до 14 мая 1998 года (до дня вступления в силу Градостроительного кодекса РФ от 7 мая 1998 г.). Воспользоваться новыми нормами можно будет в случае, если количество домов блокированной застройки в одном ряду не превышает двух.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закон содержит положения, согласно которым за собственниками блоков сохраняется право собственности на земельный участок под домом блокированной застройки, если сведения о таких блоках были внесены в ЕГРН в качестве квартир и земельный участок под таким домом образован до вступления в силу положений, предусмотренных законопроектом.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</w:t>
      </w:r>
      <w:r>
        <w:rPr>
          <w:rFonts w:ascii="Times New Roman" w:hAnsi="Times New Roman" w:cs="Times New Roman"/>
          <w:sz w:val="28"/>
          <w:szCs w:val="28"/>
        </w:rPr>
        <w:t xml:space="preserve">, чтобы оформить земельный участок под домом блокированной за</w:t>
      </w:r>
      <w:r>
        <w:rPr>
          <w:rFonts w:ascii="Times New Roman" w:hAnsi="Times New Roman" w:cs="Times New Roman"/>
          <w:sz w:val="28"/>
          <w:szCs w:val="28"/>
        </w:rPr>
        <w:t xml:space="preserve">стройки, собственникам приходилось</w:t>
      </w:r>
      <w:r>
        <w:rPr>
          <w:rFonts w:ascii="Times New Roman" w:hAnsi="Times New Roman" w:cs="Times New Roman"/>
          <w:sz w:val="28"/>
          <w:szCs w:val="28"/>
        </w:rPr>
        <w:t xml:space="preserve"> обращаться в уполномоченный орган за предоставлением такого участка и проводить кадастровые работы для его образования. Закон исключи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 эту необходимость. У граждан сохранится право общей долевой собственности в случае, если раньше блоки были оформлены как квартиры, и им не понадобится приобретать такой земельный участок за плату в собственность или в аренду.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#РосреестрРазъясняет, #</w:t>
      </w:r>
      <w:r>
        <w:rPr>
          <w:rFonts w:ascii="Times New Roman" w:hAnsi="Times New Roman" w:cs="Times New Roman"/>
          <w:sz w:val="28"/>
          <w:szCs w:val="28"/>
        </w:rPr>
        <w:t xml:space="preserve">ИзмененияЗаконодательства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#РосреестрЧелябинск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jc w:val="right"/>
        <w:rPr>
          <w:rStyle w:val="UserStyle_6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  <w:r>
        <w:rPr>
          <w:rStyle w:val="UserStyle_6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</w:t>
      </w:r>
      <w:r>
        <w:rPr>
          <w:rStyle w:val="UserStyle_6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284" w:right="567" w:bottom="284" w:left="70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minorBidi">
    <w:panose1 w:val="02000603000000000000"/>
  </w:font>
  <w:font w:name="Source Han Sans CN Regular">
    <w:panose1 w:val="02000603000000000000"/>
  </w:font>
  <w:font w:name="Liberation Serif">
    <w:panose1 w:val="02020603050405020304"/>
  </w:font>
  <w:font w:name="Cambria Math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Courier New">
    <w:panose1 w:val="02070409020205020404"/>
  </w:font>
  <w:font w:name="Mangal">
    <w:panose1 w:val="02040503050306020203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Arial Unicode MS" w:hAnsi="Arial Unicode MS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Segoe UI" w:hAnsi="Segoe UI" w:cs="Segoe UI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PT Sans" w:hAnsi="PT San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Arial Unicode MS" w:hAnsi="Arial Unicode MS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Segoe UI" w:hAnsi="Segoe UI" w:cs="Segoe UI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PT Sans" w:hAnsi="PT San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Arial Unicode MS" w:hAnsi="Arial Unicode MS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Segoe UI" w:hAnsi="Segoe UI" w:cs="Segoe UI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PT Sans" w:hAnsi="PT San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Arial Unicode MS" w:hAnsi="Arial Unicode MS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Segoe UI" w:hAnsi="Segoe UI" w:cs="Segoe UI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PT Sans" w:hAnsi="PT San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Arial Unicode MS" w:hAnsi="Arial Unicode MS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Segoe UI" w:hAnsi="Segoe UI" w:cs="Segoe UI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PT Sans" w:hAnsi="PT San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Arial Unicode MS" w:hAnsi="Arial Unicode MS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Segoe UI" w:hAnsi="Segoe UI" w:cs="Segoe UI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PT Sans" w:hAnsi="PT San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Arial Unicode MS" w:hAnsi="Arial Unicode MS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Segoe UI" w:hAnsi="Segoe UI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PT Sans" w:hAnsi="PT San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PT Sans" w:hAnsi="PT San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PT Sans" w:hAnsi="PT San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PT Sans" w:hAnsi="PT San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PT Sans" w:hAnsi="PT San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PT Sans" w:hAnsi="PT San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PT Sans" w:hAnsi="PT Sans"/>
        <w:sz w:val="20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Arial Unicode MS" w:hAnsi="Arial Unicode MS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Segoe UI" w:hAnsi="Segoe UI" w:cs="Segoe UI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PT Sans" w:hAnsi="PT San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Arial Unicode MS" w:hAnsi="Arial Unicode MS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Segoe UI" w:hAnsi="Segoe UI" w:cs="Segoe UI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PT Sans" w:hAnsi="PT San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Arial Unicode MS" w:hAnsi="Arial Unicode MS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Segoe UI" w:hAnsi="Segoe UI" w:cs="Segoe UI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PT Sans" w:hAnsi="PT Sans"/>
      </w:r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Arial Unicode MS" w:hAnsi="Arial Unicode MS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Segoe UI" w:hAnsi="Segoe UI" w:cs="Segoe UI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PT Sans" w:hAnsi="PT San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Arial Unicode MS" w:hAnsi="Arial Unicode MS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Segoe UI" w:hAnsi="Segoe UI" w:cs="Segoe UI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PT Sans" w:hAnsi="PT San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Arial Unicode MS" w:hAnsi="Arial Unicode MS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Segoe UI" w:hAnsi="Segoe UI" w:cs="Segoe UI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PT Sans" w:hAnsi="PT Sans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Segoe UI" w:hAnsi="Segoe UI" w:cs="Segoe UI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PT Sans" w:hAnsi="PT San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Arial Unicode MS" w:hAnsi="Arial Unicode MS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Segoe UI" w:hAnsi="Segoe UI" w:cs="Segoe UI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PT Sans" w:hAnsi="PT San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Arial Unicode MS" w:hAnsi="Arial Unicode MS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Segoe UI" w:hAnsi="Segoe UI" w:cs="Segoe UI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PT Sans" w:hAnsi="PT Sans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Arial Unicode MS" w:hAnsi="Arial Unicode MS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Segoe UI" w:hAnsi="Segoe UI" w:cs="Segoe UI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PT Sans" w:hAnsi="PT San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Arial Unicode MS" w:hAnsi="Arial Unicode MS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Segoe UI" w:hAnsi="Segoe UI" w:cs="Segoe UI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PT Sans" w:hAnsi="PT San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Arial Unicode MS" w:hAnsi="Arial Unicode MS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Segoe UI" w:hAnsi="Segoe UI" w:cs="Segoe UI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PT Sans" w:hAnsi="PT Sans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ngdings" w:hAnsi="Wingdings" w:eastAsia="Wingdings" w:cs="Wingdings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Arial Unicode MS" w:hAnsi="Arial Unicode MS" w:cs="Arial Unicode MS"/>
    </w:rPr>
  </w:style>
  <w:style w:type="character" w:styleId="UserStyle_1">
    <w:name w:val="WW8Num1z1"/>
    <w:next w:val="UserStyle_1"/>
    <w:link w:val="Normal"/>
    <w:rPr>
      <w:rFonts w:ascii="Segoe UI" w:hAnsi="Segoe UI" w:cs="Segoe UI"/>
    </w:rPr>
  </w:style>
  <w:style w:type="character" w:styleId="UserStyle_2">
    <w:name w:val="WW8Num1z2"/>
    <w:next w:val="UserStyle_2"/>
    <w:link w:val="Normal"/>
    <w:rPr>
      <w:rFonts w:ascii="PT Sans" w:hAnsi="PT Sans" w:cs="PT Sans"/>
    </w:rPr>
  </w:style>
  <w:style w:type="character" w:styleId="UserStyle_3">
    <w:name w:val="WW8Num2z0"/>
    <w:next w:val="UserStyle_3"/>
    <w:link w:val="Normal"/>
    <w:rPr>
      <w:rFonts w:ascii="Arial Unicode MS" w:hAnsi="Arial Unicode MS" w:cs="Arial Unicode MS"/>
    </w:rPr>
  </w:style>
  <w:style w:type="character" w:styleId="UserStyle_4">
    <w:name w:val="WW8Num2z1"/>
    <w:next w:val="UserStyle_4"/>
    <w:link w:val="Normal"/>
    <w:rPr>
      <w:rFonts w:ascii="Segoe UI" w:hAnsi="Segoe UI" w:cs="Segoe UI"/>
    </w:rPr>
  </w:style>
  <w:style w:type="character" w:styleId="UserStyle_5">
    <w:name w:val="WW8Num2z2"/>
    <w:next w:val="UserStyle_5"/>
    <w:link w:val="Normal"/>
    <w:rPr>
      <w:rFonts w:ascii="PT Sans" w:hAnsi="PT Sans" w:cs="PT San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Arial Unicode MS" w:hAnsi="Arial Unicode MS" w:cs="Arial Unicode MS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Arial Unicode MS" w:hAnsi="Arial Unicode MS" w:cs="Arial Unicode MS"/>
    </w:rPr>
  </w:style>
  <w:style w:type="character" w:styleId="UserStyle_24">
    <w:name w:val="WW8Num4z1"/>
    <w:next w:val="UserStyle_24"/>
    <w:link w:val="Normal"/>
    <w:rPr>
      <w:rFonts w:ascii="Segoe UI" w:hAnsi="Segoe UI" w:cs="Segoe UI"/>
    </w:rPr>
  </w:style>
  <w:style w:type="character" w:styleId="UserStyle_25">
    <w:name w:val="WW8Num4z2"/>
    <w:next w:val="UserStyle_25"/>
    <w:link w:val="Normal"/>
    <w:rPr>
      <w:rFonts w:ascii="PT Sans" w:hAnsi="PT Sans" w:cs="PT Sans"/>
    </w:rPr>
  </w:style>
  <w:style w:type="character" w:styleId="UserStyle_26">
    <w:name w:val="WW8Num5z0"/>
    <w:next w:val="UserStyle_26"/>
    <w:link w:val="Normal"/>
    <w:rPr>
      <w:rFonts w:ascii="Arial Unicode MS" w:hAnsi="Arial Unicode MS" w:cs="Arial Unicode MS"/>
    </w:rPr>
  </w:style>
  <w:style w:type="character" w:styleId="UserStyle_27">
    <w:name w:val="WW8Num5z1"/>
    <w:next w:val="UserStyle_27"/>
    <w:link w:val="Normal"/>
    <w:rPr>
      <w:rFonts w:ascii="Segoe UI" w:hAnsi="Segoe UI" w:cs="Segoe UI"/>
    </w:rPr>
  </w:style>
  <w:style w:type="character" w:styleId="UserStyle_28">
    <w:name w:val="WW8Num5z2"/>
    <w:next w:val="UserStyle_28"/>
    <w:link w:val="Normal"/>
    <w:rPr>
      <w:rFonts w:ascii="PT Sans" w:hAnsi="PT Sans" w:cs="PT San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Arial Unicode MS" w:hAnsi="Arial Unicode MS" w:cs="Arial Unicode MS"/>
      <w:sz w:val="20"/>
    </w:rPr>
  </w:style>
  <w:style w:type="character" w:styleId="UserStyle_31">
    <w:name w:val="WW8Num7z0"/>
    <w:next w:val="UserStyle_31"/>
    <w:link w:val="Normal"/>
    <w:rPr>
      <w:rFonts w:ascii="Arial Unicode MS" w:hAnsi="Arial Unicode MS" w:cs="Arial Unicode MS"/>
      <w:sz w:val="20"/>
    </w:rPr>
  </w:style>
  <w:style w:type="character" w:styleId="UserStyle_32">
    <w:name w:val="WW8Num7z1"/>
    <w:next w:val="UserStyle_32"/>
    <w:link w:val="Normal"/>
    <w:rPr>
      <w:rFonts w:ascii="Segoe UI" w:hAnsi="Segoe UI" w:cs="Wingdings"/>
      <w:sz w:val="20"/>
    </w:rPr>
  </w:style>
  <w:style w:type="character" w:styleId="UserStyle_33">
    <w:name w:val="WW8Num7z2"/>
    <w:next w:val="UserStyle_33"/>
    <w:link w:val="Normal"/>
    <w:rPr>
      <w:rFonts w:ascii="PT Sans" w:hAnsi="PT Sans" w:cs="PT Sans"/>
      <w:sz w:val="20"/>
    </w:rPr>
  </w:style>
  <w:style w:type="character" w:styleId="UserStyle_34">
    <w:name w:val="WW8Num8z0"/>
    <w:next w:val="UserStyle_34"/>
    <w:link w:val="Normal"/>
    <w:rPr>
      <w:rFonts w:ascii="Arial Unicode MS" w:hAnsi="Arial Unicode MS" w:cs="Arial Unicode MS"/>
    </w:rPr>
  </w:style>
  <w:style w:type="character" w:styleId="UserStyle_35">
    <w:name w:val="WW8Num8z1"/>
    <w:next w:val="UserStyle_35"/>
    <w:link w:val="Normal"/>
    <w:rPr>
      <w:rFonts w:ascii="Segoe UI" w:hAnsi="Segoe UI" w:cs="Segoe UI"/>
    </w:rPr>
  </w:style>
  <w:style w:type="character" w:styleId="UserStyle_36">
    <w:name w:val="WW8Num8z2"/>
    <w:next w:val="UserStyle_36"/>
    <w:link w:val="Normal"/>
    <w:rPr>
      <w:rFonts w:ascii="PT Sans" w:hAnsi="PT Sans" w:cs="PT Sans"/>
    </w:rPr>
  </w:style>
  <w:style w:type="character" w:styleId="UserStyle_37">
    <w:name w:val="WW8Num9z0"/>
    <w:next w:val="UserStyle_37"/>
    <w:link w:val="Normal"/>
    <w:rPr>
      <w:rFonts w:ascii="Arial Unicode MS" w:hAnsi="Arial Unicode MS" w:cs="Arial Unicode MS"/>
    </w:rPr>
  </w:style>
  <w:style w:type="character" w:styleId="UserStyle_38">
    <w:name w:val="WW8Num9z1"/>
    <w:next w:val="UserStyle_38"/>
    <w:link w:val="Normal"/>
    <w:rPr>
      <w:rFonts w:ascii="Segoe UI" w:hAnsi="Segoe UI" w:cs="Segoe UI"/>
    </w:rPr>
  </w:style>
  <w:style w:type="character" w:styleId="UserStyle_39">
    <w:name w:val="WW8Num9z2"/>
    <w:next w:val="UserStyle_39"/>
    <w:link w:val="Normal"/>
    <w:rPr>
      <w:rFonts w:ascii="PT Sans" w:hAnsi="PT Sans" w:cs="PT Sans"/>
    </w:rPr>
  </w:style>
  <w:style w:type="character" w:styleId="UserStyle_40">
    <w:name w:val="WW8Num10z0"/>
    <w:next w:val="UserStyle_40"/>
    <w:link w:val="Normal"/>
    <w:rPr>
      <w:rFonts w:ascii="Arial Unicode MS" w:hAnsi="Arial Unicode MS" w:cs="Arial Unicode MS"/>
      <w:sz w:val="20"/>
    </w:rPr>
  </w:style>
  <w:style w:type="character" w:styleId="UserStyle_41">
    <w:name w:val="WW8Num10z1"/>
    <w:next w:val="UserStyle_41"/>
    <w:link w:val="Normal"/>
    <w:rPr>
      <w:rFonts w:ascii="Segoe UI" w:hAnsi="Segoe UI" w:cs="Wingdings"/>
      <w:sz w:val="20"/>
    </w:rPr>
  </w:style>
  <w:style w:type="character" w:styleId="UserStyle_42">
    <w:name w:val="WW8Num10z2"/>
    <w:next w:val="UserStyle_42"/>
    <w:link w:val="Normal"/>
    <w:rPr>
      <w:rFonts w:ascii="PT Sans" w:hAnsi="PT Sans" w:cs="PT Sans"/>
      <w:sz w:val="20"/>
    </w:rPr>
  </w:style>
  <w:style w:type="character" w:styleId="UserStyle_43">
    <w:name w:val="WW8Num11z0"/>
    <w:next w:val="UserStyle_43"/>
    <w:link w:val="Normal"/>
    <w:rPr>
      <w:rFonts w:ascii="Arial Unicode MS" w:hAnsi="Arial Unicode MS" w:cs="Arial Unicode MS"/>
    </w:rPr>
  </w:style>
  <w:style w:type="character" w:styleId="UserStyle_44">
    <w:name w:val="WW8Num11z1"/>
    <w:next w:val="UserStyle_44"/>
    <w:link w:val="Normal"/>
    <w:rPr>
      <w:rFonts w:ascii="Segoe UI" w:hAnsi="Segoe UI" w:cs="Segoe UI"/>
    </w:rPr>
  </w:style>
  <w:style w:type="character" w:styleId="UserStyle_45">
    <w:name w:val="WW8Num11z2"/>
    <w:next w:val="UserStyle_45"/>
    <w:link w:val="Normal"/>
    <w:rPr>
      <w:rFonts w:ascii="PT Sans" w:hAnsi="PT Sans" w:cs="PT Sans"/>
    </w:rPr>
  </w:style>
  <w:style w:type="character" w:styleId="UserStyle_46">
    <w:name w:val="WW8Num12z0"/>
    <w:next w:val="UserStyle_46"/>
    <w:link w:val="Normal"/>
    <w:rPr>
      <w:rFonts w:ascii="Arial Unicode MS" w:hAnsi="Arial Unicode MS" w:cs="Arial Unicode MS"/>
      <w:sz w:val="20"/>
    </w:rPr>
  </w:style>
  <w:style w:type="character" w:styleId="UserStyle_47">
    <w:name w:val="WW8Num12z1"/>
    <w:next w:val="UserStyle_47"/>
    <w:link w:val="Normal"/>
    <w:rPr>
      <w:rFonts w:ascii="Segoe UI" w:hAnsi="Segoe UI" w:cs="Wingdings"/>
      <w:sz w:val="20"/>
    </w:rPr>
  </w:style>
  <w:style w:type="character" w:styleId="UserStyle_48">
    <w:name w:val="WW8Num12z2"/>
    <w:next w:val="UserStyle_48"/>
    <w:link w:val="Normal"/>
    <w:rPr>
      <w:rFonts w:ascii="PT Sans" w:hAnsi="PT Sans" w:cs="PT San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Wingdings" w:hAnsi="Wingdings" w:eastAsia="Wingdings" w:cs="Wingdings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Tahoma" w:cs="Tahoma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Tahoma" w:cs="Tahoma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Noto Sans Devanagari" w:hAnsi="Noto Sans Devanagari" w:eastAsia="Tahoma" w:cs="Noto Sans Devanagar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Tahoma" w:cs="Tahoma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Wingdings" w:hAnsi="Wingdings" w:cs="Wingdings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Tahoma" w:cs="Tahoma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Mangal" w:hAnsi="Mangal" w:eastAsia="PT Astra Serif" w:cs="Ari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Mangal" w:hAnsi="Mangal" w:cs="Arial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Lucida Sans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Mangal" w:hAnsi="Mangal" w:cs="Arial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Mangal" w:hAnsi="Mangal" w:cs="Arial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Helvetica Neue" w:hAnsi="Helvetica Neue" w:cs="Arial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Helvetica Neue" w:hAnsi="Helvetica Neue" w:cs="Arial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Calibri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Calibri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Golo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Golo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Calibri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Calibri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Golo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Golo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Golo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Golo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Golo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Golo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Golo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Golo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Golo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Golo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Golo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Golo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Mangal" w:hAnsi="Mangal" w:cs="Arial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Mangal" w:hAnsi="Mangal" w:cs="Arial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Source Han Sans CN Regular" w:hAnsi="Source Han Sans CN Regular" w:eastAsia="Tahoma" w:cs="Tahoma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Liberation Serif" w:hAnsi="Liberation Serif" w:eastAsia="Liberation Serif" w:cs="Liberation Serif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Liberation Serif" w:hAnsi="Liberation Serif" w:eastAsia="Liberation Serif" w:cs="Wingdings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Wingdings" w:cs="Wingdings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Wingdings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Noto Sans Devanagari" w:hAnsi="Noto Sans Devanagari" w:cs="Wingdings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qFormat/>
    <w:rPr>
      <w:rFonts w:ascii="Liberation Serif" w:hAnsi="Liberation Serif" w:cs="Liberation Serif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Liberation Serif" w:hAnsi="Liberation Serif" w:cs="Liberation Serif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Cambria Math" w:hAnsi="Cambria Math" w:cs="Cambria Math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Liberation Serif" w:hAnsi="Liberation Serif" w:eastAsia="Liberation Serif" w:cs="Liberation Serif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Helvetica Neue" w:hAnsi="Helvetica Neue" w:eastAsia="minorBidi" w:cs="Helvetica Neue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Wingdings" w:cs="Wingdings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Wingdings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Symbol" w:hAnsi="Symbol" w:cs="Lucida Sans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Wingdings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Wingdings" w:cs="Wingdings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2580</Characters>
  <CharactersWithSpaces>3026</CharactersWithSpaces>
  <DocSecurity>0</DocSecurity>
  <HyperlinksChanged>false</HyperlinksChanged>
  <Lines>21</Lines>
  <Pages>1</Pages>
  <Paragraphs>6</Paragraphs>
  <ScaleCrop>false</ScaleCrop>
  <SharedDoc>false</SharedDoc>
  <Template>Normal</Template>
  <Words>452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Шишкина Лариса</cp:lastModifiedBy>
  <cp:revision>59</cp:revision>
  <dcterms:created xsi:type="dcterms:W3CDTF">2024-08-16T10:03:00Z</dcterms:created>
  <dcterms:modified xsi:type="dcterms:W3CDTF">2024-11-14T12:46:00Z</dcterms:modified>
  <cp:version>983040</cp:version>
</cp:coreProperties>
</file>